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AF9F5"/>
  <w:body>
    <w:p>
      <w:r>
        <w:drawing>
          <wp:inline xmlns:a="http://schemas.openxmlformats.org/drawingml/2006/main" xmlns:pic="http://schemas.openxmlformats.org/drawingml/2006/picture">
            <wp:extent cx="1480686" cy="274320"/>
            <wp:docPr id="1" name="Picture 1"/>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1480686" cy="274320"/>
                    </a:xfrm>
                    <a:prstGeom prst="rect"/>
                  </pic:spPr>
                </pic:pic>
              </a:graphicData>
            </a:graphic>
          </wp:inline>
        </w:drawing>
      </w:r>
    </w:p>
    <w:p>
      <w:pPr>
        <w:pBdr>
          <w:bottom w:val="single" w:sz="12" w:space="1" w:color="D97757"/>
        </w:pBdr>
        <w:spacing w:after="40"/>
      </w:pPr>
    </w:p>
    <w:p>
      <w:pPr>
        <w:spacing w:before="200"/>
      </w:pPr>
      <w:r>
        <w:rPr>
          <w:b/>
          <w:color w:val="1F1E1D"/>
          <w:sz w:val="42"/>
        </w:rPr>
        <w:t>Revenue optimization and risk detection across the whole operation.</w:t>
      </w:r>
    </w:p>
    <w:p>
      <w:r>
        <w:rPr>
          <w:color w:val="5C5A54"/>
          <w:sz w:val="23"/>
        </w:rPr>
        <w:t>We diagnose operating performance across the full business. Prior engagements show the same pattern: value leaks across finance, IT, compliance, contracts, sales and delivery, not just claims. The obvious problems get attention. We find the expensive ones that remain.</w:t>
      </w:r>
    </w:p>
    <w:p>
      <w:r>
        <w:rPr>
          <w:b/>
          <w:color w:val="D97757"/>
          <w:sz w:val="21"/>
        </w:rPr>
        <w:t>The Operating Review</w:t>
      </w:r>
    </w:p>
    <w:p>
      <w:pPr>
        <w:spacing w:before="360"/>
      </w:pPr>
      <w:r>
        <w:rPr>
          <w:b/>
          <w:color w:val="1F1E1D"/>
          <w:sz w:val="29"/>
        </w:rPr>
        <w:t>Three lenses on the same operation.</w:t>
      </w:r>
    </w:p>
    <w:p>
      <w:pPr>
        <w:pBdr>
          <w:bottom w:val="single" w:sz="12" w:space="1" w:color="D97757"/>
        </w:pBdr>
        <w:spacing w:after="40"/>
      </w:pPr>
    </w:p>
    <w:p>
      <w:r>
        <w:rPr>
          <w:color w:val="5C5A54"/>
          <w:sz w:val="22"/>
        </w:rPr>
        <w:t>Money leaving that should not, work taking longer than it needs to, and risk nobody has priced. Compliance sits inside exposure, one third of one lens, rather than being the product.</w:t>
      </w:r>
    </w:p>
    <w:p>
      <w:pPr>
        <w:spacing w:before="220"/>
      </w:pPr>
      <w:r>
        <w:rPr>
          <w:b/>
          <w:color w:val="D97757"/>
          <w:sz w:val="20"/>
        </w:rPr>
        <w:t>MONEY LEAVING THAT SHOULDN'T</w:t>
      </w:r>
    </w:p>
    <w:p>
      <w:pPr>
        <w:pStyle w:val="ListBullet"/>
      </w:pPr>
      <w:r>
        <w:rPr>
          <w:color w:val="1F1E1D"/>
          <w:sz w:val="22"/>
        </w:rPr>
        <w:t>Full finance-operation audit</w:t>
      </w:r>
    </w:p>
    <w:p>
      <w:pPr>
        <w:pStyle w:val="ListBullet"/>
      </w:pPr>
      <w:r>
        <w:rPr>
          <w:color w:val="1F1E1D"/>
          <w:sz w:val="22"/>
        </w:rPr>
        <w:t>Claims, billing, AR/AP and write-offs</w:t>
      </w:r>
    </w:p>
    <w:p>
      <w:pPr>
        <w:pStyle w:val="ListBullet"/>
      </w:pPr>
      <w:r>
        <w:rPr>
          <w:color w:val="1F1E1D"/>
          <w:sz w:val="22"/>
        </w:rPr>
        <w:t>Vendor overpayment and duplicate services</w:t>
      </w:r>
    </w:p>
    <w:p>
      <w:pPr>
        <w:pStyle w:val="ListBullet"/>
      </w:pPr>
      <w:r>
        <w:rPr>
          <w:color w:val="1F1E1D"/>
          <w:sz w:val="22"/>
        </w:rPr>
        <w:t>Contract terms nobody enforces</w:t>
      </w:r>
    </w:p>
    <w:p>
      <w:pPr>
        <w:spacing w:before="220"/>
      </w:pPr>
      <w:r>
        <w:rPr>
          <w:b/>
          <w:color w:val="D97757"/>
          <w:sz w:val="20"/>
        </w:rPr>
        <w:t>WORK TAKING LONGER THAN IT NEEDS TO</w:t>
      </w:r>
    </w:p>
    <w:p>
      <w:pPr>
        <w:pStyle w:val="ListBullet"/>
      </w:pPr>
      <w:r>
        <w:rPr>
          <w:color w:val="1F1E1D"/>
          <w:sz w:val="22"/>
        </w:rPr>
        <w:t>IT operations and support drag</w:t>
      </w:r>
    </w:p>
    <w:p>
      <w:pPr>
        <w:pStyle w:val="ListBullet"/>
      </w:pPr>
      <w:r>
        <w:rPr>
          <w:color w:val="1F1E1D"/>
          <w:sz w:val="22"/>
        </w:rPr>
        <w:t>Credentialing and onboarding delays</w:t>
      </w:r>
    </w:p>
    <w:p>
      <w:pPr>
        <w:pStyle w:val="ListBullet"/>
      </w:pPr>
      <w:r>
        <w:rPr>
          <w:color w:val="1F1E1D"/>
          <w:sz w:val="22"/>
        </w:rPr>
        <w:t>Marketing, sales and referral handoffs</w:t>
      </w:r>
    </w:p>
    <w:p>
      <w:pPr>
        <w:pStyle w:val="ListBullet"/>
      </w:pPr>
      <w:r>
        <w:rPr>
          <w:color w:val="1F1E1D"/>
          <w:sz w:val="22"/>
        </w:rPr>
        <w:t>Manual approvals and rework loops</w:t>
      </w:r>
    </w:p>
    <w:p>
      <w:pPr>
        <w:spacing w:before="220"/>
      </w:pPr>
      <w:r>
        <w:rPr>
          <w:b/>
          <w:color w:val="D97757"/>
          <w:sz w:val="20"/>
        </w:rPr>
        <w:t>RISK NOBODY HAS PRICED</w:t>
      </w:r>
    </w:p>
    <w:p>
      <w:pPr>
        <w:pStyle w:val="ListBullet"/>
      </w:pPr>
      <w:r>
        <w:rPr>
          <w:color w:val="1F1E1D"/>
          <w:sz w:val="22"/>
        </w:rPr>
        <w:t>Compliance and credentialing stance</w:t>
      </w:r>
    </w:p>
    <w:p>
      <w:pPr>
        <w:pStyle w:val="ListBullet"/>
      </w:pPr>
      <w:r>
        <w:rPr>
          <w:color w:val="1F1E1D"/>
          <w:sz w:val="22"/>
        </w:rPr>
        <w:t>Legal contract exposure</w:t>
      </w:r>
    </w:p>
    <w:p>
      <w:pPr>
        <w:pStyle w:val="ListBullet"/>
      </w:pPr>
      <w:r>
        <w:rPr>
          <w:color w:val="1F1E1D"/>
          <w:sz w:val="22"/>
        </w:rPr>
        <w:t>Unmanaged AI or data sharing</w:t>
      </w:r>
    </w:p>
    <w:p>
      <w:pPr>
        <w:pStyle w:val="ListBullet"/>
      </w:pPr>
      <w:r>
        <w:rPr>
          <w:color w:val="1F1E1D"/>
          <w:sz w:val="22"/>
        </w:rPr>
        <w:t>Key-person and uninsured liability</w:t>
      </w:r>
    </w:p>
    <w:p>
      <w:pPr>
        <w:spacing w:before="360"/>
      </w:pPr>
      <w:r>
        <w:rPr>
          <w:b/>
          <w:color w:val="1F1E1D"/>
          <w:sz w:val="29"/>
        </w:rPr>
        <w:t>We review the operating system, not one department.</w:t>
      </w:r>
    </w:p>
    <w:p>
      <w:pPr>
        <w:pBdr>
          <w:bottom w:val="single" w:sz="12" w:space="1" w:color="D97757"/>
        </w:pBdr>
        <w:spacing w:after="40"/>
      </w:pPr>
    </w:p>
    <w:p>
      <w:r>
        <w:rPr>
          <w:color w:val="5C5A54"/>
          <w:sz w:val="22"/>
        </w:rPr>
        <w:t>Full operating coverage replaces narrow extrapolation. That is how prior engagements surfaced issues a claims-only or compliance-only review would miss.</w:t>
      </w:r>
    </w:p>
    <w:p>
      <w:pPr>
        <w:spacing w:before="220"/>
      </w:pPr>
      <w:r>
        <w:rPr>
          <w:b/>
          <w:color w:val="D97757"/>
          <w:sz w:val="20"/>
        </w:rPr>
        <w:t>CONVENTIONAL</w:t>
      </w:r>
    </w:p>
    <w:p>
      <w:pPr>
        <w:pStyle w:val="ListBullet"/>
      </w:pPr>
      <w:r>
        <w:rPr>
          <w:color w:val="1F1E1D"/>
          <w:sz w:val="22"/>
        </w:rPr>
        <w:t>Samples thirty claims</w:t>
      </w:r>
    </w:p>
    <w:p>
      <w:pPr>
        <w:pStyle w:val="ListBullet"/>
      </w:pPr>
      <w:r>
        <w:rPr>
          <w:color w:val="1F1E1D"/>
          <w:sz w:val="22"/>
        </w:rPr>
        <w:t>Interviews eight people</w:t>
      </w:r>
    </w:p>
    <w:p>
      <w:pPr>
        <w:pStyle w:val="ListBullet"/>
      </w:pPr>
      <w:r>
        <w:rPr>
          <w:color w:val="1F1E1D"/>
          <w:sz w:val="22"/>
        </w:rPr>
        <w:t>Reviews one quarter</w:t>
      </w:r>
    </w:p>
    <w:p>
      <w:pPr>
        <w:pStyle w:val="ListBullet"/>
      </w:pPr>
      <w:r>
        <w:rPr>
          <w:color w:val="1F1E1D"/>
          <w:sz w:val="22"/>
        </w:rPr>
        <w:t>Extrapolates the rest</w:t>
      </w:r>
    </w:p>
    <w:p>
      <w:pPr>
        <w:spacing w:before="220"/>
      </w:pPr>
      <w:r>
        <w:rPr>
          <w:b/>
          <w:color w:val="D97757"/>
          <w:sz w:val="20"/>
        </w:rPr>
        <w:t>OUR APPROACH</w:t>
      </w:r>
    </w:p>
    <w:p>
      <w:pPr>
        <w:pStyle w:val="ListBullet"/>
      </w:pPr>
      <w:r>
        <w:rPr>
          <w:color w:val="1F1E1D"/>
          <w:sz w:val="22"/>
        </w:rPr>
        <w:t>Claims, billing and finance operations</w:t>
      </w:r>
    </w:p>
    <w:p>
      <w:pPr>
        <w:pStyle w:val="ListBullet"/>
      </w:pPr>
      <w:r>
        <w:rPr>
          <w:color w:val="1F1E1D"/>
          <w:sz w:val="22"/>
        </w:rPr>
        <w:t>Invoices, vendors and legal contracts</w:t>
      </w:r>
    </w:p>
    <w:p>
      <w:pPr>
        <w:pStyle w:val="ListBullet"/>
      </w:pPr>
      <w:r>
        <w:rPr>
          <w:color w:val="1F1E1D"/>
          <w:sz w:val="22"/>
        </w:rPr>
        <w:t>IT operations, access and data workflows</w:t>
      </w:r>
    </w:p>
    <w:p>
      <w:pPr>
        <w:pStyle w:val="ListBullet"/>
      </w:pPr>
      <w:r>
        <w:rPr>
          <w:color w:val="1F1E1D"/>
          <w:sz w:val="22"/>
        </w:rPr>
        <w:t>Credentialing, marketing and sales handoffs</w:t>
      </w:r>
    </w:p>
    <w:p>
      <w:pPr>
        <w:spacing w:before="360"/>
      </w:pPr>
      <w:r>
        <w:rPr>
          <w:b/>
          <w:color w:val="1F1E1D"/>
          <w:sz w:val="29"/>
        </w:rPr>
        <w:t>Full operating diagnostic.</w:t>
      </w:r>
    </w:p>
    <w:p>
      <w:pPr>
        <w:pBdr>
          <w:bottom w:val="single" w:sz="12" w:space="1" w:color="D97757"/>
        </w:pBdr>
        <w:spacing w:after="40"/>
      </w:pPr>
    </w:p>
    <w:p>
      <w:r>
        <w:rPr>
          <w:color w:val="5C5A54"/>
          <w:sz w:val="22"/>
        </w:rPr>
        <w:t>We apply the same method across finance, IT, compliance, credentialing, legal, marketing and sales operations. Phase one stands alone. The report is yours; phase two is discussed only afterward.</w:t>
      </w:r>
    </w:p>
    <w:p>
      <w:pPr>
        <w:spacing w:before="220"/>
      </w:pPr>
      <w:r>
        <w:rPr>
          <w:b/>
          <w:color w:val="D97757"/>
          <w:sz w:val="20"/>
        </w:rPr>
        <w:t>OUR APPROACH</w:t>
      </w:r>
    </w:p>
    <w:p>
      <w:pPr>
        <w:pStyle w:val="ListBullet"/>
      </w:pPr>
      <w:r>
        <w:rPr>
          <w:color w:val="1F1E1D"/>
          <w:sz w:val="22"/>
        </w:rPr>
        <w:t>Finance operations reviewed, not just claims</w:t>
      </w:r>
    </w:p>
    <w:p>
      <w:pPr>
        <w:pStyle w:val="ListBullet"/>
      </w:pPr>
      <w:r>
        <w:rPr>
          <w:color w:val="1F1E1D"/>
          <w:sz w:val="22"/>
        </w:rPr>
        <w:t>Revenue leakage traced to root cause</w:t>
      </w:r>
    </w:p>
    <w:p>
      <w:pPr>
        <w:pStyle w:val="ListBullet"/>
      </w:pPr>
      <w:r>
        <w:rPr>
          <w:color w:val="1F1E1D"/>
          <w:sz w:val="22"/>
        </w:rPr>
        <w:t>IT operations, access and data workflows mapped</w:t>
      </w:r>
    </w:p>
    <w:p>
      <w:pPr>
        <w:pStyle w:val="ListBullet"/>
      </w:pPr>
      <w:r>
        <w:rPr>
          <w:color w:val="1F1E1D"/>
          <w:sz w:val="22"/>
        </w:rPr>
        <w:t>Compliance and credentialing stance reviewed</w:t>
      </w:r>
    </w:p>
    <w:p>
      <w:pPr>
        <w:pStyle w:val="ListBullet"/>
      </w:pPr>
      <w:r>
        <w:rPr>
          <w:color w:val="1F1E1D"/>
          <w:sz w:val="22"/>
        </w:rPr>
        <w:t>Legal contracts and vendor obligations tested</w:t>
      </w:r>
    </w:p>
    <w:p>
      <w:pPr>
        <w:pStyle w:val="ListBullet"/>
      </w:pPr>
      <w:r>
        <w:rPr>
          <w:color w:val="1F1E1D"/>
          <w:sz w:val="22"/>
        </w:rPr>
        <w:t>Marketing and sales operations assessed</w:t>
      </w:r>
    </w:p>
    <w:p>
      <w:pPr>
        <w:spacing w:before="220"/>
      </w:pPr>
      <w:r>
        <w:rPr>
          <w:b/>
          <w:color w:val="D97757"/>
          <w:sz w:val="20"/>
        </w:rPr>
        <w:t>THE REPORT</w:t>
      </w:r>
    </w:p>
    <w:p>
      <w:pPr>
        <w:pStyle w:val="ListBullet"/>
      </w:pPr>
      <w:r>
        <w:rPr>
          <w:color w:val="1F1E1D"/>
          <w:sz w:val="22"/>
        </w:rPr>
        <w:t>What works and what to protect</w:t>
      </w:r>
    </w:p>
    <w:p>
      <w:pPr>
        <w:pStyle w:val="ListBullet"/>
      </w:pPr>
      <w:r>
        <w:rPr>
          <w:color w:val="1F1E1D"/>
          <w:sz w:val="22"/>
        </w:rPr>
        <w:t>Every material finding quantified</w:t>
      </w:r>
    </w:p>
    <w:p>
      <w:pPr>
        <w:pStyle w:val="ListBullet"/>
      </w:pPr>
      <w:r>
        <w:rPr>
          <w:color w:val="1F1E1D"/>
          <w:sz w:val="22"/>
        </w:rPr>
        <w:t>Cost now vs. cost to fix</w:t>
      </w:r>
    </w:p>
    <w:p>
      <w:pPr>
        <w:pStyle w:val="ListBullet"/>
      </w:pPr>
      <w:r>
        <w:rPr>
          <w:color w:val="1F1E1D"/>
          <w:sz w:val="22"/>
        </w:rPr>
        <w:t>What not to fix</w:t>
      </w:r>
    </w:p>
    <w:p>
      <w:pPr>
        <w:pStyle w:val="ListBullet"/>
      </w:pPr>
      <w:r>
        <w:rPr>
          <w:color w:val="1F1E1D"/>
          <w:sz w:val="22"/>
        </w:rPr>
        <w:t>Owners, dates and sequence</w:t>
      </w:r>
    </w:p>
    <w:p>
      <w:pPr>
        <w:spacing w:before="360"/>
      </w:pPr>
      <w:r>
        <w:rPr>
          <w:b/>
          <w:color w:val="1F1E1D"/>
          <w:sz w:val="29"/>
        </w:rPr>
        <w:t>Improve and build.</w:t>
      </w:r>
    </w:p>
    <w:p>
      <w:pPr>
        <w:pBdr>
          <w:bottom w:val="single" w:sz="12" w:space="1" w:color="D97757"/>
        </w:pBdr>
        <w:spacing w:after="40"/>
      </w:pPr>
    </w:p>
    <w:p>
      <w:r>
        <w:rPr>
          <w:color w:val="5C5A54"/>
          <w:sz w:val="22"/>
        </w:rPr>
        <w:t>We scale what already works, then repair the systems that slow the business down. We build technology only where it improves the economics.</w:t>
      </w:r>
    </w:p>
    <w:p>
      <w:pPr>
        <w:spacing w:before="220"/>
      </w:pPr>
      <w:r>
        <w:rPr>
          <w:b/>
          <w:color w:val="D97757"/>
          <w:sz w:val="20"/>
        </w:rPr>
        <w:t>EXTEND &amp; REWARD</w:t>
      </w:r>
    </w:p>
    <w:p>
      <w:pPr>
        <w:pStyle w:val="ListBullet"/>
      </w:pPr>
      <w:r>
        <w:rPr>
          <w:color w:val="1F1E1D"/>
          <w:sz w:val="22"/>
        </w:rPr>
        <w:t>Scale methods already working</w:t>
      </w:r>
    </w:p>
    <w:p>
      <w:pPr>
        <w:pStyle w:val="ListBullet"/>
      </w:pPr>
      <w:r>
        <w:rPr>
          <w:color w:val="1F1E1D"/>
          <w:sz w:val="22"/>
        </w:rPr>
        <w:t>Recognize the people behind them</w:t>
      </w:r>
    </w:p>
    <w:p>
      <w:pPr>
        <w:pStyle w:val="ListBullet"/>
      </w:pPr>
      <w:r>
        <w:rPr>
          <w:color w:val="1F1E1D"/>
          <w:sz w:val="22"/>
        </w:rPr>
        <w:t>Align incentives to clean performance</w:t>
      </w:r>
    </w:p>
    <w:p>
      <w:pPr>
        <w:pStyle w:val="ListBullet"/>
      </w:pPr>
      <w:r>
        <w:rPr>
          <w:color w:val="1F1E1D"/>
          <w:sz w:val="22"/>
        </w:rPr>
        <w:t>Protect what should not change</w:t>
      </w:r>
    </w:p>
    <w:p>
      <w:pPr>
        <w:spacing w:before="220"/>
      </w:pPr>
      <w:r>
        <w:rPr>
          <w:b/>
          <w:color w:val="D97757"/>
          <w:sz w:val="20"/>
        </w:rPr>
        <w:t>REPAIR &amp; REBUILD</w:t>
      </w:r>
    </w:p>
    <w:p>
      <w:pPr>
        <w:pStyle w:val="ListBullet"/>
      </w:pPr>
      <w:r>
        <w:rPr>
          <w:color w:val="1F1E1D"/>
          <w:sz w:val="22"/>
        </w:rPr>
        <w:t>Rebuild finance and IT workflows</w:t>
      </w:r>
    </w:p>
    <w:p>
      <w:pPr>
        <w:pStyle w:val="ListBullet"/>
      </w:pPr>
      <w:r>
        <w:rPr>
          <w:color w:val="1F1E1D"/>
          <w:sz w:val="22"/>
        </w:rPr>
        <w:t>Close compliance and credentialing gaps</w:t>
      </w:r>
    </w:p>
    <w:p>
      <w:pPr>
        <w:pStyle w:val="ListBullet"/>
      </w:pPr>
      <w:r>
        <w:rPr>
          <w:color w:val="1F1E1D"/>
          <w:sz w:val="22"/>
        </w:rPr>
        <w:t>Renegotiate legal and vendor terms</w:t>
      </w:r>
    </w:p>
    <w:p>
      <w:pPr>
        <w:pStyle w:val="ListBullet"/>
      </w:pPr>
      <w:r>
        <w:rPr>
          <w:color w:val="1F1E1D"/>
          <w:sz w:val="22"/>
        </w:rPr>
        <w:t>Clean up marketing and sales handoffs</w:t>
      </w:r>
    </w:p>
    <w:p>
      <w:pPr>
        <w:pStyle w:val="ListBullet"/>
      </w:pPr>
      <w:r>
        <w:rPr>
          <w:color w:val="1F1E1D"/>
          <w:sz w:val="22"/>
        </w:rPr>
        <w:t>Train staff on the new process</w:t>
      </w:r>
    </w:p>
    <w:p>
      <w:pPr>
        <w:spacing w:before="220"/>
      </w:pPr>
      <w:r>
        <w:rPr>
          <w:b/>
          <w:color w:val="D97757"/>
          <w:sz w:val="20"/>
        </w:rPr>
        <w:t>CUSTOM BUILD — IF APPLICABLE</w:t>
      </w:r>
    </w:p>
    <w:p>
      <w:pPr>
        <w:pStyle w:val="ListBullet"/>
      </w:pPr>
      <w:r>
        <w:rPr>
          <w:color w:val="1F1E1D"/>
          <w:sz w:val="22"/>
        </w:rPr>
        <w:t>Pre-bill review using denial history</w:t>
      </w:r>
    </w:p>
    <w:p>
      <w:pPr>
        <w:pStyle w:val="ListBullet"/>
      </w:pPr>
      <w:r>
        <w:rPr>
          <w:color w:val="1F1E1D"/>
          <w:sz w:val="22"/>
        </w:rPr>
        <w:t>Finance and contract exception reporting</w:t>
      </w:r>
    </w:p>
    <w:p>
      <w:pPr>
        <w:pStyle w:val="ListBullet"/>
      </w:pPr>
      <w:r>
        <w:rPr>
          <w:color w:val="1F1E1D"/>
          <w:sz w:val="22"/>
        </w:rPr>
        <w:t>Document classification</w:t>
      </w:r>
    </w:p>
    <w:p>
      <w:pPr>
        <w:pStyle w:val="ListBullet"/>
      </w:pPr>
      <w:r>
        <w:rPr>
          <w:color w:val="1F1E1D"/>
          <w:sz w:val="22"/>
        </w:rPr>
        <w:t>Automated exclusion and credentialing checks</w:t>
      </w:r>
    </w:p>
    <w:p>
      <w:pPr>
        <w:pStyle w:val="ListBullet"/>
      </w:pPr>
      <w:r>
        <w:rPr>
          <w:color w:val="1F1E1D"/>
          <w:sz w:val="22"/>
        </w:rPr>
        <w:t>AI-use and data-access monitoring</w:t>
      </w:r>
    </w:p>
    <w:p>
      <w:pPr>
        <w:spacing w:before="360"/>
      </w:pPr>
      <w:r>
        <w:rPr>
          <w:b/>
          <w:color w:val="1F1E1D"/>
          <w:sz w:val="29"/>
        </w:rPr>
        <w:t>Make the work better across the whole operation.</w:t>
      </w:r>
    </w:p>
    <w:p>
      <w:pPr>
        <w:pBdr>
          <w:bottom w:val="single" w:sz="12" w:space="1" w:color="D97757"/>
        </w:pBdr>
        <w:spacing w:after="40"/>
      </w:pPr>
    </w:p>
    <w:p>
      <w:r>
        <w:rPr>
          <w:color w:val="5C5A54"/>
          <w:sz w:val="22"/>
        </w:rPr>
        <w:t>Successful engagements improve the daily operating system, not just the report. We fix processes first. That is how prior projects gained better data and stronger adoption.</w:t>
      </w:r>
    </w:p>
    <w:p>
      <w:pPr>
        <w:spacing w:before="220"/>
      </w:pPr>
      <w:r>
        <w:rPr>
          <w:b/>
          <w:color w:val="D97757"/>
          <w:sz w:val="20"/>
        </w:rPr>
        <w:t>SCALE WHAT ALREADY WORKS</w:t>
      </w:r>
    </w:p>
    <w:p>
      <w:pPr>
        <w:pStyle w:val="ListBullet"/>
      </w:pPr>
      <w:r>
        <w:rPr>
          <w:color w:val="1F1E1D"/>
          <w:sz w:val="22"/>
        </w:rPr>
        <w:t>Strong performers and clean processes are identified, protected and replicated.</w:t>
      </w:r>
    </w:p>
    <w:p>
      <w:pPr>
        <w:spacing w:before="220"/>
      </w:pPr>
      <w:r>
        <w:rPr>
          <w:b/>
          <w:color w:val="D97757"/>
          <w:sz w:val="20"/>
        </w:rPr>
        <w:t>REMOVE LOW-VALUE WORK FIRST</w:t>
      </w:r>
    </w:p>
    <w:p>
      <w:pPr>
        <w:pStyle w:val="ListBullet"/>
      </w:pPr>
      <w:r>
        <w:rPr>
          <w:color w:val="1F1E1D"/>
          <w:sz w:val="22"/>
        </w:rPr>
        <w:t>Re-keying, chasing paper, access issues and repetitive follow-up are usually the first targets.</w:t>
      </w:r>
    </w:p>
    <w:p>
      <w:pPr>
        <w:spacing w:before="220"/>
      </w:pPr>
      <w:r>
        <w:rPr>
          <w:b/>
          <w:color w:val="D97757"/>
          <w:sz w:val="20"/>
        </w:rPr>
        <w:t>AUTOMATION HANDLES ROUTINE VOLUME</w:t>
      </w:r>
    </w:p>
    <w:p>
      <w:pPr>
        <w:pStyle w:val="ListBullet"/>
      </w:pPr>
      <w:r>
        <w:rPr>
          <w:color w:val="1F1E1D"/>
          <w:sz w:val="22"/>
        </w:rPr>
        <w:t>People move to exceptions, judgment and higher-value work.</w:t>
      </w:r>
    </w:p>
    <w:p>
      <w:pPr>
        <w:spacing w:before="220"/>
      </w:pPr>
      <w:r>
        <w:rPr>
          <w:b/>
          <w:color w:val="D97757"/>
          <w:sz w:val="20"/>
        </w:rPr>
        <w:t>ALIGN INCENTIVES</w:t>
      </w:r>
    </w:p>
    <w:p>
      <w:pPr>
        <w:pStyle w:val="ListBullet"/>
      </w:pPr>
      <w:r>
        <w:rPr>
          <w:color w:val="1F1E1D"/>
          <w:sz w:val="22"/>
        </w:rPr>
        <w:t>Reward the behaviors that produce clean finance, clean handoffs and clean operations.</w:t>
      </w:r>
    </w:p>
    <w:p>
      <w:pPr>
        <w:spacing w:before="360"/>
      </w:pPr>
      <w:r>
        <w:rPr>
          <w:b/>
          <w:color w:val="1F1E1D"/>
          <w:sz w:val="29"/>
        </w:rPr>
        <w:t>Before fieldwork, we document what we expect to find.</w:t>
      </w:r>
    </w:p>
    <w:p>
      <w:pPr>
        <w:pBdr>
          <w:bottom w:val="single" w:sz="12" w:space="1" w:color="D97757"/>
        </w:pBdr>
        <w:spacing w:after="40"/>
      </w:pPr>
    </w:p>
    <w:p>
      <w:r>
        <w:rPr>
          <w:color w:val="5C5A54"/>
          <w:sz w:val="22"/>
        </w:rPr>
        <w:t>Three dated predictions, including one thing we expect is already working well. Repeatable work should be measurable.</w:t>
      </w:r>
    </w:p>
    <w:p>
      <w:pPr>
        <w:spacing w:before="220"/>
      </w:pPr>
      <w:r>
        <w:rPr>
          <w:b/>
          <w:color w:val="D97757"/>
          <w:sz w:val="20"/>
        </w:rPr>
        <w:t>IF WE ARE RIGHT</w:t>
      </w:r>
    </w:p>
    <w:p>
      <w:pPr>
        <w:pStyle w:val="ListBullet"/>
      </w:pPr>
      <w:r>
        <w:rPr>
          <w:color w:val="1F1E1D"/>
          <w:sz w:val="22"/>
        </w:rPr>
        <w:t>It shows the diagnosis came from experience, not hindsight.</w:t>
      </w:r>
    </w:p>
    <w:p>
      <w:pPr>
        <w:spacing w:before="220"/>
      </w:pPr>
      <w:r>
        <w:rPr>
          <w:b/>
          <w:color w:val="D97757"/>
          <w:sz w:val="20"/>
        </w:rPr>
        <w:t>IF WE ARE WRONG</w:t>
      </w:r>
    </w:p>
    <w:p>
      <w:pPr>
        <w:pStyle w:val="ListBullet"/>
      </w:pPr>
      <w:r>
        <w:rPr>
          <w:color w:val="1F1E1D"/>
          <w:sz w:val="22"/>
        </w:rPr>
        <w:t>The miss is documented too. The method stays testable.</w:t>
      </w:r>
    </w:p>
    <w:p>
      <w:pPr>
        <w:spacing w:before="220"/>
      </w:pPr>
      <w:r>
        <w:rPr>
          <w:b/>
          <w:color w:val="D97757"/>
          <w:sz w:val="20"/>
        </w:rPr>
        <w:t>WHY IT MATTERS</w:t>
      </w:r>
    </w:p>
    <w:p>
      <w:pPr>
        <w:pStyle w:val="ListBullet"/>
      </w:pPr>
      <w:r>
        <w:rPr>
          <w:color w:val="1F1E1D"/>
          <w:sz w:val="22"/>
        </w:rPr>
        <w:t>The work can be checked after the engagement.</w:t>
      </w:r>
    </w:p>
    <w:p>
      <w:pPr>
        <w:spacing w:before="360"/>
      </w:pPr>
      <w:r>
        <w:rPr>
          <w:b/>
          <w:color w:val="1F1E1D"/>
          <w:sz w:val="29"/>
        </w:rPr>
        <w:t>Proven across demanding client environments.</w:t>
      </w:r>
    </w:p>
    <w:p>
      <w:pPr>
        <w:pBdr>
          <w:bottom w:val="single" w:sz="12" w:space="1" w:color="D97757"/>
        </w:pBdr>
        <w:spacing w:after="40"/>
      </w:pPr>
    </w:p>
    <w:p>
      <w:r>
        <w:rPr>
          <w:color w:val="5C5A54"/>
          <w:sz w:val="22"/>
        </w:rPr>
        <w:t>The same operating and technical discipline has been applied in healthcare, life sciences, national laboratory, semiconductor equipment, enterprise technology, aerospace and automotive settings. Our advantage is not a single specialty. It is the ability to see operations, technology and risk together, in organizations where mistakes are expensive.</w:t>
      </w:r>
    </w:p>
    <w:p>
      <w:pPr>
        <w:spacing w:before="220"/>
      </w:pPr>
      <w:r>
        <w:rPr>
          <w:b/>
          <w:color w:val="D97757"/>
          <w:sz w:val="20"/>
        </w:rPr>
        <w:t>HEALTHCARE &amp; LIFE SCIENCES</w:t>
      </w:r>
    </w:p>
    <w:p>
      <w:pPr>
        <w:pStyle w:val="ListBullet"/>
      </w:pPr>
      <w:r>
        <w:rPr>
          <w:color w:val="1F1E1D"/>
          <w:sz w:val="22"/>
        </w:rPr>
        <w:t>Novartis Pharmaceuticals</w:t>
      </w:r>
    </w:p>
    <w:p>
      <w:pPr>
        <w:pStyle w:val="ListBullet"/>
      </w:pPr>
      <w:r>
        <w:rPr>
          <w:color w:val="1F1E1D"/>
          <w:sz w:val="22"/>
        </w:rPr>
        <w:t>AstraZeneca</w:t>
      </w:r>
    </w:p>
    <w:p>
      <w:pPr>
        <w:pStyle w:val="ListBullet"/>
      </w:pPr>
      <w:r>
        <w:rPr>
          <w:color w:val="1F1E1D"/>
          <w:sz w:val="22"/>
        </w:rPr>
        <w:t>Roche Diagnostics</w:t>
      </w:r>
    </w:p>
    <w:p>
      <w:pPr>
        <w:pStyle w:val="ListBullet"/>
      </w:pPr>
      <w:r>
        <w:rPr>
          <w:color w:val="1F1E1D"/>
          <w:sz w:val="22"/>
        </w:rPr>
        <w:t>Weill Cornell Medicine</w:t>
      </w:r>
    </w:p>
    <w:p>
      <w:pPr>
        <w:pStyle w:val="ListBullet"/>
      </w:pPr>
      <w:r>
        <w:rPr>
          <w:color w:val="1F1E1D"/>
          <w:sz w:val="22"/>
        </w:rPr>
        <w:t>Albert Einstein College of Medicine</w:t>
      </w:r>
    </w:p>
    <w:p>
      <w:pPr>
        <w:pStyle w:val="ListBullet"/>
      </w:pPr>
      <w:r>
        <w:rPr>
          <w:color w:val="1F1E1D"/>
          <w:sz w:val="22"/>
        </w:rPr>
        <w:t>Memorial Sloan Kettering</w:t>
      </w:r>
    </w:p>
    <w:p>
      <w:pPr>
        <w:pStyle w:val="ListBullet"/>
      </w:pPr>
      <w:r>
        <w:rPr>
          <w:color w:val="1F1E1D"/>
          <w:sz w:val="22"/>
        </w:rPr>
        <w:t>Mount Sinai</w:t>
      </w:r>
    </w:p>
    <w:p>
      <w:pPr>
        <w:pStyle w:val="ListBullet"/>
      </w:pPr>
      <w:r>
        <w:rPr>
          <w:color w:val="1F1E1D"/>
          <w:sz w:val="22"/>
        </w:rPr>
        <w:t>National Jewish Health</w:t>
      </w:r>
    </w:p>
    <w:p>
      <w:pPr>
        <w:pStyle w:val="ListBullet"/>
      </w:pPr>
      <w:r>
        <w:rPr>
          <w:color w:val="1F1E1D"/>
          <w:sz w:val="22"/>
        </w:rPr>
        <w:t>Acupath Laboratories</w:t>
      </w:r>
    </w:p>
    <w:p>
      <w:pPr>
        <w:spacing w:before="220"/>
      </w:pPr>
      <w:r>
        <w:rPr>
          <w:b/>
          <w:color w:val="D97757"/>
          <w:sz w:val="20"/>
        </w:rPr>
        <w:t>INDUSTRIAL &amp; TECHNOLOGY</w:t>
      </w:r>
    </w:p>
    <w:p>
      <w:pPr>
        <w:pStyle w:val="ListBullet"/>
      </w:pPr>
      <w:r>
        <w:rPr>
          <w:color w:val="1F1E1D"/>
          <w:sz w:val="22"/>
        </w:rPr>
        <w:t>Brookhaven National Laboratory</w:t>
      </w:r>
    </w:p>
    <w:p>
      <w:pPr>
        <w:pStyle w:val="ListBullet"/>
      </w:pPr>
      <w:r>
        <w:rPr>
          <w:color w:val="1F1E1D"/>
          <w:sz w:val="22"/>
        </w:rPr>
        <w:t>ASML</w:t>
      </w:r>
    </w:p>
    <w:p>
      <w:pPr>
        <w:pStyle w:val="ListBullet"/>
      </w:pPr>
      <w:r>
        <w:rPr>
          <w:color w:val="1F1E1D"/>
          <w:sz w:val="22"/>
        </w:rPr>
        <w:t>Lam Research</w:t>
      </w:r>
    </w:p>
    <w:p>
      <w:pPr>
        <w:pStyle w:val="ListBullet"/>
      </w:pPr>
      <w:r>
        <w:rPr>
          <w:color w:val="1F1E1D"/>
          <w:sz w:val="22"/>
        </w:rPr>
        <w:t>Oracle</w:t>
      </w:r>
    </w:p>
    <w:p>
      <w:pPr>
        <w:pStyle w:val="ListBullet"/>
      </w:pPr>
      <w:r>
        <w:rPr>
          <w:color w:val="1F1E1D"/>
          <w:sz w:val="22"/>
        </w:rPr>
        <w:t>Boeing</w:t>
      </w:r>
    </w:p>
    <w:p>
      <w:pPr>
        <w:pStyle w:val="ListBullet"/>
      </w:pPr>
      <w:r>
        <w:rPr>
          <w:color w:val="1F1E1D"/>
          <w:sz w:val="22"/>
        </w:rPr>
        <w:t>Toyota USA</w:t>
      </w:r>
    </w:p>
    <w:p>
      <w:pPr>
        <w:spacing w:before="220"/>
      </w:pPr>
      <w:r>
        <w:rPr>
          <w:b/>
          <w:color w:val="D97757"/>
          <w:sz w:val="20"/>
        </w:rPr>
        <w:t>WHAT THIS SIGNALS</w:t>
      </w:r>
    </w:p>
    <w:p>
      <w:pPr>
        <w:pStyle w:val="ListBullet"/>
      </w:pPr>
      <w:r>
        <w:rPr>
          <w:color w:val="1F1E1D"/>
          <w:sz w:val="22"/>
        </w:rPr>
        <w:t>Regulated data environments</w:t>
      </w:r>
    </w:p>
    <w:p>
      <w:pPr>
        <w:pStyle w:val="ListBullet"/>
      </w:pPr>
      <w:r>
        <w:rPr>
          <w:color w:val="1F1E1D"/>
          <w:sz w:val="22"/>
        </w:rPr>
        <w:t>Complex operations</w:t>
      </w:r>
    </w:p>
    <w:p>
      <w:pPr>
        <w:pStyle w:val="ListBullet"/>
      </w:pPr>
      <w:r>
        <w:rPr>
          <w:color w:val="1F1E1D"/>
          <w:sz w:val="22"/>
        </w:rPr>
        <w:t>High-trust executive stakeholders</w:t>
      </w:r>
    </w:p>
    <w:p>
      <w:pPr>
        <w:pStyle w:val="ListBullet"/>
      </w:pPr>
      <w:r>
        <w:rPr>
          <w:color w:val="1F1E1D"/>
          <w:sz w:val="22"/>
        </w:rPr>
        <w:t>Clinical, scientific, semiconductor and industrial workflows</w:t>
      </w:r>
    </w:p>
    <w:p>
      <w:pPr>
        <w:pStyle w:val="ListBullet"/>
      </w:pPr>
      <w:r>
        <w:rPr>
          <w:color w:val="1F1E1D"/>
          <w:sz w:val="22"/>
        </w:rPr>
        <w:t>Work that must hold up under scrutiny</w:t>
      </w:r>
    </w:p>
    <w:p>
      <w:pPr>
        <w:spacing w:before="360"/>
      </w:pPr>
      <w:r>
        <w:rPr>
          <w:b/>
          <w:color w:val="1F1E1D"/>
          <w:sz w:val="29"/>
        </w:rPr>
        <w:t>The rules we use on every engagement.</w:t>
      </w:r>
    </w:p>
    <w:p>
      <w:pPr>
        <w:pBdr>
          <w:bottom w:val="single" w:sz="12" w:space="1" w:color="D97757"/>
        </w:pBdr>
        <w:spacing w:after="40"/>
      </w:pPr>
    </w:p>
    <w:p>
      <w:r>
        <w:rPr>
          <w:color w:val="5C5A54"/>
          <w:sz w:val="22"/>
        </w:rPr>
        <w:t>The client is the only party paying us. Our conclusion has no second sponsor.</w:t>
      </w:r>
    </w:p>
    <w:p>
      <w:pPr>
        <w:spacing w:before="220"/>
      </w:pPr>
      <w:r>
        <w:rPr>
          <w:b/>
          <w:color w:val="D97757"/>
          <w:sz w:val="20"/>
        </w:rPr>
        <w:t>WE WILL</w:t>
      </w:r>
    </w:p>
    <w:p>
      <w:pPr>
        <w:pStyle w:val="ListBullet"/>
      </w:pPr>
      <w:r>
        <w:rPr>
          <w:color w:val="1F1E1D"/>
          <w:sz w:val="22"/>
        </w:rPr>
        <w:t>Price phase one before discussing phase two</w:t>
      </w:r>
    </w:p>
    <w:p>
      <w:pPr>
        <w:pStyle w:val="ListBullet"/>
      </w:pPr>
      <w:r>
        <w:rPr>
          <w:color w:val="1F1E1D"/>
          <w:sz w:val="22"/>
        </w:rPr>
        <w:t>Say when someone else should fix a finding</w:t>
      </w:r>
    </w:p>
    <w:p>
      <w:pPr>
        <w:pStyle w:val="ListBullet"/>
      </w:pPr>
      <w:r>
        <w:rPr>
          <w:color w:val="1F1E1D"/>
          <w:sz w:val="22"/>
        </w:rPr>
        <w:t>Review under NDA</w:t>
      </w:r>
    </w:p>
    <w:p>
      <w:pPr>
        <w:pStyle w:val="ListBullet"/>
      </w:pPr>
      <w:r>
        <w:rPr>
          <w:color w:val="1F1E1D"/>
          <w:sz w:val="22"/>
        </w:rPr>
        <w:t>Leave you every file, document and model</w:t>
      </w:r>
    </w:p>
    <w:p>
      <w:pPr>
        <w:spacing w:before="220"/>
      </w:pPr>
      <w:r>
        <w:rPr>
          <w:b/>
          <w:color w:val="D97757"/>
          <w:sz w:val="20"/>
        </w:rPr>
        <w:t>WE WILL NOT</w:t>
      </w:r>
    </w:p>
    <w:p>
      <w:pPr>
        <w:pStyle w:val="ListBullet"/>
      </w:pPr>
      <w:r>
        <w:rPr>
          <w:color w:val="1F1E1D"/>
          <w:sz w:val="22"/>
        </w:rPr>
        <w:t>Take vendor commissions or referral fees</w:t>
      </w:r>
    </w:p>
    <w:p>
      <w:pPr>
        <w:pStyle w:val="ListBullet"/>
      </w:pPr>
      <w:r>
        <w:rPr>
          <w:color w:val="1F1E1D"/>
          <w:sz w:val="22"/>
        </w:rPr>
        <w:t>Resell software we are paid to place</w:t>
      </w:r>
    </w:p>
    <w:p>
      <w:pPr>
        <w:pStyle w:val="ListBullet"/>
      </w:pPr>
      <w:r>
        <w:rPr>
          <w:color w:val="1F1E1D"/>
          <w:sz w:val="22"/>
        </w:rPr>
        <w:t>Inflate findings to sell phase two</w:t>
      </w:r>
    </w:p>
    <w:p>
      <w:pPr>
        <w:pStyle w:val="ListBullet"/>
      </w:pPr>
      <w:r>
        <w:rPr>
          <w:color w:val="1F1E1D"/>
          <w:sz w:val="22"/>
        </w:rPr>
        <w:t>Interrupt patients, clinicians or revenue work</w:t>
      </w:r>
    </w:p>
    <w:p>
      <w:pPr>
        <w:spacing w:before="360"/>
      </w:pPr>
      <w:r>
        <w:rPr>
          <w:b/>
          <w:color w:val="1F1E1D"/>
          <w:sz w:val="29"/>
        </w:rPr>
        <w:t>We work backward from your next business deadline.</w:t>
      </w:r>
    </w:p>
    <w:p>
      <w:pPr>
        <w:pBdr>
          <w:bottom w:val="single" w:sz="12" w:space="1" w:color="D97757"/>
        </w:pBdr>
        <w:spacing w:after="40"/>
      </w:pPr>
    </w:p>
    <w:p>
      <w:r>
        <w:rPr>
          <w:color w:val="5C5A54"/>
          <w:sz w:val="22"/>
        </w:rPr>
        <w:t>Your next budget cycle, survey or renewal sets the date. The only decision today is the start date.</w:t>
      </w:r>
    </w:p>
    <w:p>
      <w:pPr>
        <w:spacing w:before="220"/>
      </w:pPr>
      <w:r>
        <w:rPr>
          <w:b/>
          <w:color w:val="D97757"/>
          <w:sz w:val="20"/>
        </w:rPr>
        <w:t>YOU NAME A START DATE</w:t>
      </w:r>
    </w:p>
    <w:p>
      <w:pPr>
        <w:pStyle w:val="ListBullet"/>
      </w:pPr>
      <w:r>
        <w:rPr>
          <w:color w:val="1F1E1D"/>
          <w:sz w:val="22"/>
        </w:rPr>
        <w:t>Choose the date. We handle the kickoff.</w:t>
      </w:r>
    </w:p>
    <w:p>
      <w:pPr>
        <w:spacing w:before="220"/>
      </w:pPr>
      <w:r>
        <w:rPr>
          <w:b/>
          <w:color w:val="D97757"/>
          <w:sz w:val="20"/>
        </w:rPr>
        <w:t>FIELDWORK</w:t>
      </w:r>
    </w:p>
    <w:p>
      <w:pPr>
        <w:pStyle w:val="ListBullet"/>
      </w:pPr>
      <w:r>
        <w:rPr>
          <w:color w:val="1F1E1D"/>
          <w:sz w:val="22"/>
        </w:rPr>
        <w:t>We work around operations; staff keep working.</w:t>
      </w:r>
    </w:p>
    <w:p>
      <w:pPr>
        <w:spacing w:before="220"/>
      </w:pPr>
      <w:r>
        <w:rPr>
          <w:b/>
          <w:color w:val="D97757"/>
          <w:sz w:val="20"/>
        </w:rPr>
        <w:t>FINDINGS PRESENTED</w:t>
      </w:r>
    </w:p>
    <w:p>
      <w:pPr>
        <w:pStyle w:val="ListBullet"/>
      </w:pPr>
      <w:r>
        <w:rPr>
          <w:color w:val="1F1E1D"/>
          <w:sz w:val="22"/>
        </w:rPr>
        <w:t>Findings are quantified. Phase two comes afterward.</w:t>
      </w:r>
    </w:p>
    <w:p>
      <w:pPr>
        <w:spacing w:before="360"/>
      </w:pPr>
      <w:r>
        <w:rPr>
          <w:b/>
          <w:color w:val="1F1E1D"/>
          <w:sz w:val="29"/>
        </w:rPr>
        <w:t>The only decision today is the start date.</w:t>
      </w:r>
    </w:p>
    <w:p>
      <w:pPr>
        <w:pBdr>
          <w:bottom w:val="single" w:sz="12" w:space="1" w:color="D97757"/>
        </w:pBdr>
        <w:spacing w:after="40"/>
      </w:pPr>
    </w:p>
    <w:p>
      <w:r>
        <w:rPr>
          <w:color w:val="5C5A54"/>
          <w:sz w:val="22"/>
        </w:rPr>
        <w:t>Tell us what you run and what your next business deadline is — a budget cycle, a survey, a renewal. We work backward from it. Phase one is priced before phase two is discussed, the report is yours either way, and we take no vendor commissions or referral fees on anything we recommend.</w:t>
      </w:r>
    </w:p>
    <w:sectPr w:rsidR="00FC693F" w:rsidRPr="0006063C" w:rsidSect="00034616">
      <w:pgSz w:w="12240" w:h="15840"/>
      <w:pgMar w:top="122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elvetica Neue" w:hAnsi="Helvetica Neue"/>
      <w:color w:val="1F1E1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